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Canzone popolare brasiliana degli anni ‘70,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cui viene sottolineato che alcune situazioni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per una persona normale possono essere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piacevoli, come il tintinnio della pioggia sul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tetto della casa,  per chi è povero, possono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trasformarsi in gravi difficoltà, la pioggia che,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esempio, può arrivare a distruggere baracche 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fatte di fango e paglia, in cui ancora oggi vivono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molte famiglie in tutto il mondo.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ballata vuole anche essere un richiamo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alla responsabilità individuale di fronte ai poveri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del mondo, che sono sempre più numerosi,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sempre più poveri: come si può dormire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tranquillamente, se, di fronte al mio fratello povero,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tengo le braccia conserte e non faccio nulla per aiutarlo?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fronte ad una società sempre più cieca e sorda,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dove l’individualismo ha la meglio, ricordarsi di chi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 meno di noi, è un continuo richiamo alla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responsabilità di ogni persona, che dovrebbe 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spingere ciascuno a tendere le mani verso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chi è in difficoltà.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Riferimenti:</w:t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Musica brasiliana - autori originali citati non da tutte le fonti</w:t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- </w:t>
      </w: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Irene Gomes, Rita de Cássia e Ribeiro</w:t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link alla  vecchia versione- alcune differenze anche negli accordi</w:t>
      </w:r>
    </w:p>
    <w:p w:rsidR="00000000" w:rsidDel="00000000" w:rsidP="00000000" w:rsidRDefault="00000000" w:rsidRPr="00000000" w14:paraId="0000001A">
      <w:pPr>
        <w:rPr>
          <w:rFonts w:ascii="Roboto" w:cs="Roboto" w:eastAsia="Roboto" w:hAnsi="Roboto"/>
          <w:sz w:val="21"/>
          <w:szCs w:val="21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1"/>
            <w:szCs w:val="21"/>
            <w:u w:val="single"/>
            <w:rtl w:val="0"/>
          </w:rPr>
          <w:t xml:space="preserve">Balada da Caridade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xOu18xe0FTU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